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7C" w:rsidRDefault="00682FE9">
      <w:r>
        <w:rPr>
          <w:rFonts w:ascii="Arial" w:hAnsi="Arial" w:cs="Arial"/>
          <w:noProof/>
          <w:sz w:val="20"/>
          <w:szCs w:val="20"/>
        </w:rPr>
        <w:drawing>
          <wp:anchor distT="0" distB="0" distL="114300" distR="114300" simplePos="0" relativeHeight="251664384" behindDoc="0" locked="0" layoutInCell="1" allowOverlap="1" wp14:anchorId="7AB9745C" wp14:editId="37B1F711">
            <wp:simplePos x="0" y="0"/>
            <wp:positionH relativeFrom="column">
              <wp:posOffset>4495800</wp:posOffset>
            </wp:positionH>
            <wp:positionV relativeFrom="paragraph">
              <wp:posOffset>-66675</wp:posOffset>
            </wp:positionV>
            <wp:extent cx="1905000" cy="2857500"/>
            <wp:effectExtent l="0" t="0" r="0" b="0"/>
            <wp:wrapSquare wrapText="bothSides"/>
            <wp:docPr id="4" name="Picture 4" descr="http://media-cache-ec0.pinimg.com/736x/3d/4c/2a/3d4c2a0a538c8d1c92e6b3c42f9106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ec0.pinimg.com/736x/3d/4c/2a/3d4c2a0a538c8d1c92e6b3c42f9106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13B">
        <w:t>The Warren Court, 1953-1969</w:t>
      </w:r>
    </w:p>
    <w:p w:rsidR="0073313B" w:rsidRDefault="0073313B">
      <w:r>
        <w:t>The Supreme Court under Chief Justice Earl Warren</w:t>
      </w:r>
    </w:p>
    <w:p w:rsidR="0073313B" w:rsidRDefault="0073313B"/>
    <w:p w:rsidR="0073313B" w:rsidRDefault="0073313B" w:rsidP="0073313B">
      <w:pPr>
        <w:jc w:val="left"/>
      </w:pPr>
      <w:r>
        <w:t>Characteristics of the Warren Court</w:t>
      </w:r>
    </w:p>
    <w:p w:rsidR="0073313B" w:rsidRDefault="0073313B" w:rsidP="0073313B">
      <w:pPr>
        <w:pStyle w:val="ListParagraph"/>
        <w:numPr>
          <w:ilvl w:val="0"/>
          <w:numId w:val="1"/>
        </w:numPr>
        <w:jc w:val="left"/>
      </w:pPr>
      <w:r>
        <w:t>Expand civil rights and civil liberties</w:t>
      </w:r>
    </w:p>
    <w:p w:rsidR="0073313B" w:rsidRDefault="0073313B" w:rsidP="0073313B">
      <w:pPr>
        <w:pStyle w:val="ListParagraph"/>
        <w:numPr>
          <w:ilvl w:val="0"/>
          <w:numId w:val="1"/>
        </w:numPr>
        <w:jc w:val="left"/>
      </w:pPr>
      <w:r>
        <w:t>Increase the power of the federal government over the states</w:t>
      </w:r>
    </w:p>
    <w:p w:rsidR="0073313B" w:rsidRDefault="0073313B" w:rsidP="0073313B">
      <w:pPr>
        <w:pStyle w:val="ListParagraph"/>
        <w:numPr>
          <w:ilvl w:val="0"/>
          <w:numId w:val="1"/>
        </w:numPr>
        <w:jc w:val="left"/>
      </w:pPr>
      <w:r>
        <w:t>Address social issues of the 1950s and 1960s</w:t>
      </w:r>
    </w:p>
    <w:p w:rsidR="0073313B" w:rsidRDefault="0073313B" w:rsidP="0073313B">
      <w:pPr>
        <w:pStyle w:val="ListParagraph"/>
        <w:numPr>
          <w:ilvl w:val="0"/>
          <w:numId w:val="1"/>
        </w:numPr>
        <w:jc w:val="left"/>
      </w:pPr>
      <w:r>
        <w:t>Very liberal in nature (willing to adopt change)</w:t>
      </w:r>
    </w:p>
    <w:p w:rsidR="0073313B" w:rsidRDefault="0073313B" w:rsidP="0073313B">
      <w:pPr>
        <w:jc w:val="left"/>
      </w:pPr>
    </w:p>
    <w:p w:rsidR="0073313B" w:rsidRDefault="0073313B" w:rsidP="0073313B">
      <w:pPr>
        <w:jc w:val="left"/>
      </w:pPr>
      <w:r>
        <w:t xml:space="preserve">What is </w:t>
      </w:r>
      <w:r w:rsidRPr="0073313B">
        <w:rPr>
          <w:b/>
        </w:rPr>
        <w:t>Due Process</w:t>
      </w:r>
      <w:r>
        <w:t>?</w:t>
      </w:r>
      <w:r w:rsidR="00682FE9" w:rsidRPr="00682FE9">
        <w:rPr>
          <w:rFonts w:ascii="Arial" w:hAnsi="Arial" w:cs="Arial"/>
          <w:sz w:val="20"/>
          <w:szCs w:val="20"/>
          <w:lang w:val="en"/>
        </w:rPr>
        <w:t xml:space="preserve"> </w:t>
      </w:r>
    </w:p>
    <w:p w:rsidR="0073313B" w:rsidRDefault="00CB1399" w:rsidP="0073313B">
      <w:pPr>
        <w:pStyle w:val="ListParagraph"/>
        <w:numPr>
          <w:ilvl w:val="0"/>
          <w:numId w:val="2"/>
        </w:numPr>
        <w:jc w:val="left"/>
      </w:pPr>
      <w:r>
        <w:t xml:space="preserve"> </w:t>
      </w:r>
      <w:r w:rsidR="00922A91">
        <w:t>Means that the law may not treat individuals unfairly, and courts must follow proper procedures when trying cases</w:t>
      </w:r>
    </w:p>
    <w:p w:rsidR="00922A91" w:rsidRDefault="00922A91" w:rsidP="0073313B">
      <w:pPr>
        <w:pStyle w:val="ListParagraph"/>
        <w:numPr>
          <w:ilvl w:val="0"/>
          <w:numId w:val="2"/>
        </w:numPr>
        <w:jc w:val="left"/>
      </w:pPr>
      <w:r>
        <w:t>The Warren Court ruled in several cases that upholding due process meant that the federal bill of rights should be applied to states, as well as individuals.</w:t>
      </w:r>
    </w:p>
    <w:p w:rsidR="00BD4750" w:rsidRDefault="00922A91" w:rsidP="00BD4750">
      <w:pPr>
        <w:pStyle w:val="ListParagraph"/>
        <w:numPr>
          <w:ilvl w:val="0"/>
          <w:numId w:val="2"/>
        </w:numPr>
        <w:jc w:val="left"/>
      </w:pPr>
      <w:r>
        <w:t>Term comes from the Fourteenth Amendment to the Constitution:</w:t>
      </w:r>
    </w:p>
    <w:p w:rsidR="00BD4750" w:rsidRDefault="00BD4750" w:rsidP="00922A91">
      <w:pPr>
        <w:pStyle w:val="ListParagraph"/>
        <w:jc w:val="left"/>
      </w:pPr>
      <w:r>
        <w:rPr>
          <w:noProof/>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161924</wp:posOffset>
                </wp:positionV>
                <wp:extent cx="5848350" cy="1285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848350" cy="1285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1pt;margin-top:12.75pt;width:460.5pt;height:1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" filled="f" strokecolor="#243f60 [1604]" strokeweight="2pt"/>
            </w:pict>
          </mc:Fallback>
        </mc:AlternateContent>
      </w:r>
    </w:p>
    <w:p w:rsidR="00BD4750" w:rsidRDefault="00BD4750" w:rsidP="00922A91">
      <w:pPr>
        <w:pStyle w:val="ListParagraph"/>
        <w:jc w:val="left"/>
      </w:pPr>
      <w:proofErr w:type="gramStart"/>
      <w:r>
        <w:t>Section 1.</w:t>
      </w:r>
      <w:proofErr w:type="gramEnd"/>
    </w:p>
    <w:p w:rsidR="00922A91" w:rsidRDefault="00922A91" w:rsidP="00922A91">
      <w:pPr>
        <w:pStyle w:val="ListParagraph"/>
        <w:jc w:val="left"/>
        <w:rPr>
          <w:lang w:val="en"/>
        </w:rPr>
      </w:pPr>
      <w:r>
        <w:t>“</w:t>
      </w:r>
      <w:r w:rsidRPr="00922A91">
        <w:rPr>
          <w:lang w:val="en"/>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CB1399" w:rsidRDefault="00CB1399" w:rsidP="00CB1399">
      <w:pPr>
        <w:jc w:val="left"/>
      </w:pPr>
    </w:p>
    <w:p w:rsidR="00CB1399" w:rsidRDefault="00CB1399" w:rsidP="00CB1399">
      <w:pPr>
        <w:jc w:val="left"/>
      </w:pPr>
      <w:r>
        <w:t>Warren Court Themes</w:t>
      </w:r>
    </w:p>
    <w:p w:rsidR="00CB1399" w:rsidRDefault="00CB1399" w:rsidP="00CB1399">
      <w:pPr>
        <w:pStyle w:val="ListParagraph"/>
        <w:numPr>
          <w:ilvl w:val="0"/>
          <w:numId w:val="3"/>
        </w:numPr>
        <w:jc w:val="left"/>
      </w:pPr>
      <w:r>
        <w:rPr>
          <w:b/>
        </w:rPr>
        <w:t>A</w:t>
      </w:r>
      <w:r w:rsidRPr="00CB1399">
        <w:rPr>
          <w:b/>
        </w:rPr>
        <w:t>pportionment</w:t>
      </w:r>
      <w:r>
        <w:t>-restructuring electoral districts to make them more representative (re-drawing districts to accurately reflect a region’s population, so that everyone’s vote is equal)</w:t>
      </w:r>
    </w:p>
    <w:p w:rsidR="00CB1399" w:rsidRDefault="00922A91" w:rsidP="00CB1399">
      <w:pPr>
        <w:pStyle w:val="ListParagraph"/>
        <w:numPr>
          <w:ilvl w:val="0"/>
          <w:numId w:val="3"/>
        </w:numPr>
        <w:jc w:val="left"/>
        <w:rPr>
          <w:b/>
        </w:rPr>
      </w:pPr>
      <w:r w:rsidRPr="00922A91">
        <w:rPr>
          <w:b/>
        </w:rPr>
        <w:t>Due Process</w:t>
      </w:r>
      <w:r>
        <w:rPr>
          <w:b/>
        </w:rPr>
        <w:t>-</w:t>
      </w:r>
      <w:r>
        <w:t>everyone, including states, must be treated fairly and equally under the law and courts have to follow proper procedures when trying cases</w:t>
      </w:r>
    </w:p>
    <w:p w:rsidR="00922A91" w:rsidRDefault="00922A91" w:rsidP="00CB1399">
      <w:pPr>
        <w:pStyle w:val="ListParagraph"/>
        <w:numPr>
          <w:ilvl w:val="0"/>
          <w:numId w:val="3"/>
        </w:numPr>
        <w:jc w:val="left"/>
        <w:rPr>
          <w:b/>
        </w:rPr>
      </w:pPr>
      <w:r>
        <w:rPr>
          <w:b/>
        </w:rPr>
        <w:t>Civil Rights</w:t>
      </w:r>
    </w:p>
    <w:p w:rsidR="00922A91" w:rsidRDefault="00922A91" w:rsidP="00CB1399">
      <w:pPr>
        <w:pStyle w:val="ListParagraph"/>
        <w:numPr>
          <w:ilvl w:val="0"/>
          <w:numId w:val="3"/>
        </w:numPr>
        <w:jc w:val="left"/>
        <w:rPr>
          <w:b/>
        </w:rPr>
      </w:pPr>
      <w:r>
        <w:rPr>
          <w:b/>
        </w:rPr>
        <w:t>Freedom of Religion/Speech</w:t>
      </w:r>
    </w:p>
    <w:p w:rsidR="00922A91" w:rsidRPr="00922A91" w:rsidRDefault="00922A91" w:rsidP="00CB1399">
      <w:pPr>
        <w:pStyle w:val="ListParagraph"/>
        <w:numPr>
          <w:ilvl w:val="0"/>
          <w:numId w:val="3"/>
        </w:numPr>
        <w:jc w:val="left"/>
        <w:rPr>
          <w:b/>
        </w:rPr>
      </w:pPr>
      <w:r>
        <w:rPr>
          <w:b/>
        </w:rPr>
        <w:t>Right to Privacy</w:t>
      </w:r>
    </w:p>
    <w:p w:rsidR="00CB1399" w:rsidRDefault="00CB1399" w:rsidP="00CB1399">
      <w:pPr>
        <w:jc w:val="left"/>
      </w:pPr>
    </w:p>
    <w:tbl>
      <w:tblPr>
        <w:tblStyle w:val="TableGrid"/>
        <w:tblW w:w="0" w:type="auto"/>
        <w:tblLook w:val="04A0" w:firstRow="1" w:lastRow="0" w:firstColumn="1" w:lastColumn="0" w:noHBand="0" w:noVBand="1"/>
      </w:tblPr>
      <w:tblGrid>
        <w:gridCol w:w="3192"/>
        <w:gridCol w:w="3192"/>
        <w:gridCol w:w="3192"/>
      </w:tblGrid>
      <w:tr w:rsidR="00321AC0" w:rsidTr="00CB1399">
        <w:tc>
          <w:tcPr>
            <w:tcW w:w="3192" w:type="dxa"/>
          </w:tcPr>
          <w:p w:rsidR="00CB1399" w:rsidRDefault="00CB1399" w:rsidP="00CB1399">
            <w:pPr>
              <w:jc w:val="left"/>
            </w:pPr>
            <w:r>
              <w:t>Name of Court Case</w:t>
            </w:r>
          </w:p>
        </w:tc>
        <w:tc>
          <w:tcPr>
            <w:tcW w:w="3192" w:type="dxa"/>
          </w:tcPr>
          <w:p w:rsidR="00CB1399" w:rsidRDefault="00CB1399" w:rsidP="00CB1399">
            <w:pPr>
              <w:jc w:val="left"/>
            </w:pPr>
            <w:r>
              <w:t>Relates to…</w:t>
            </w:r>
          </w:p>
        </w:tc>
        <w:tc>
          <w:tcPr>
            <w:tcW w:w="3192" w:type="dxa"/>
          </w:tcPr>
          <w:p w:rsidR="00CB1399" w:rsidRDefault="00CB1399" w:rsidP="00CB1399">
            <w:pPr>
              <w:jc w:val="left"/>
            </w:pPr>
            <w:r>
              <w:t>Significance</w:t>
            </w:r>
          </w:p>
        </w:tc>
      </w:tr>
      <w:tr w:rsidR="00321AC0" w:rsidTr="00CB1399">
        <w:tc>
          <w:tcPr>
            <w:tcW w:w="3192" w:type="dxa"/>
          </w:tcPr>
          <w:p w:rsidR="00CB1399" w:rsidRDefault="00922A91" w:rsidP="00CB1399">
            <w:pPr>
              <w:jc w:val="left"/>
            </w:pPr>
            <w:r w:rsidRPr="00922A91">
              <w:rPr>
                <w:i/>
              </w:rPr>
              <w:t>Brown v. Board of Education</w:t>
            </w:r>
            <w:r>
              <w:t>, 1954</w:t>
            </w:r>
          </w:p>
        </w:tc>
        <w:tc>
          <w:tcPr>
            <w:tcW w:w="3192" w:type="dxa"/>
          </w:tcPr>
          <w:p w:rsidR="00CB1399" w:rsidRDefault="00CB1399" w:rsidP="00CB1399">
            <w:pPr>
              <w:jc w:val="left"/>
            </w:pPr>
          </w:p>
        </w:tc>
        <w:tc>
          <w:tcPr>
            <w:tcW w:w="3192" w:type="dxa"/>
          </w:tcPr>
          <w:p w:rsidR="00CB1399" w:rsidRDefault="00CB1399" w:rsidP="00CB1399">
            <w:pPr>
              <w:jc w:val="left"/>
            </w:pPr>
          </w:p>
        </w:tc>
      </w:tr>
      <w:tr w:rsidR="00321AC0" w:rsidTr="00CB1399">
        <w:tc>
          <w:tcPr>
            <w:tcW w:w="3192" w:type="dxa"/>
          </w:tcPr>
          <w:p w:rsidR="00CB1399" w:rsidRDefault="00922A91" w:rsidP="00CB1399">
            <w:pPr>
              <w:jc w:val="left"/>
            </w:pPr>
            <w:r w:rsidRPr="00922A91">
              <w:rPr>
                <w:i/>
              </w:rPr>
              <w:t xml:space="preserve">Baker v. </w:t>
            </w:r>
            <w:proofErr w:type="spellStart"/>
            <w:r w:rsidRPr="00922A91">
              <w:rPr>
                <w:i/>
              </w:rPr>
              <w:t>Carr</w:t>
            </w:r>
            <w:proofErr w:type="spellEnd"/>
            <w:r>
              <w:t>, 1962</w:t>
            </w:r>
          </w:p>
        </w:tc>
        <w:tc>
          <w:tcPr>
            <w:tcW w:w="3192" w:type="dxa"/>
          </w:tcPr>
          <w:p w:rsidR="00CB1399" w:rsidRDefault="00CB1399" w:rsidP="00CB1399">
            <w:pPr>
              <w:jc w:val="left"/>
            </w:pPr>
          </w:p>
        </w:tc>
        <w:tc>
          <w:tcPr>
            <w:tcW w:w="3192" w:type="dxa"/>
          </w:tcPr>
          <w:p w:rsidR="00CB1399" w:rsidRDefault="00CB1399" w:rsidP="00CB1399">
            <w:pPr>
              <w:jc w:val="left"/>
            </w:pPr>
          </w:p>
        </w:tc>
      </w:tr>
      <w:tr w:rsidR="00321AC0" w:rsidTr="00CB1399">
        <w:tc>
          <w:tcPr>
            <w:tcW w:w="3192" w:type="dxa"/>
          </w:tcPr>
          <w:p w:rsidR="00CB1399" w:rsidRDefault="00922A91" w:rsidP="00CB1399">
            <w:pPr>
              <w:jc w:val="left"/>
            </w:pPr>
            <w:r w:rsidRPr="00922A91">
              <w:rPr>
                <w:i/>
              </w:rPr>
              <w:t>Mapp v. Ohio</w:t>
            </w:r>
            <w:r>
              <w:t>, 1961</w:t>
            </w:r>
          </w:p>
        </w:tc>
        <w:tc>
          <w:tcPr>
            <w:tcW w:w="3192" w:type="dxa"/>
          </w:tcPr>
          <w:p w:rsidR="00CB1399" w:rsidRDefault="00CB1399" w:rsidP="00CB1399">
            <w:pPr>
              <w:jc w:val="left"/>
            </w:pPr>
          </w:p>
        </w:tc>
        <w:tc>
          <w:tcPr>
            <w:tcW w:w="3192" w:type="dxa"/>
          </w:tcPr>
          <w:p w:rsidR="00CB1399" w:rsidRDefault="00CB1399" w:rsidP="00CB1399">
            <w:pPr>
              <w:jc w:val="left"/>
            </w:pPr>
          </w:p>
        </w:tc>
      </w:tr>
      <w:tr w:rsidR="00321AC0" w:rsidTr="00CB1399">
        <w:tc>
          <w:tcPr>
            <w:tcW w:w="3192" w:type="dxa"/>
          </w:tcPr>
          <w:p w:rsidR="00CB1399" w:rsidRDefault="00922A91" w:rsidP="00CB1399">
            <w:pPr>
              <w:jc w:val="left"/>
            </w:pPr>
            <w:r w:rsidRPr="00922A91">
              <w:rPr>
                <w:i/>
              </w:rPr>
              <w:t>Gideon v. Wainwright</w:t>
            </w:r>
            <w:r>
              <w:t>, 1963</w:t>
            </w:r>
          </w:p>
        </w:tc>
        <w:tc>
          <w:tcPr>
            <w:tcW w:w="3192" w:type="dxa"/>
          </w:tcPr>
          <w:p w:rsidR="00CB1399" w:rsidRDefault="00CB1399" w:rsidP="00CB1399">
            <w:pPr>
              <w:jc w:val="left"/>
            </w:pPr>
          </w:p>
        </w:tc>
        <w:tc>
          <w:tcPr>
            <w:tcW w:w="3192" w:type="dxa"/>
          </w:tcPr>
          <w:p w:rsidR="00CB1399" w:rsidRDefault="00CB1399" w:rsidP="00CB1399">
            <w:pPr>
              <w:jc w:val="left"/>
            </w:pPr>
          </w:p>
        </w:tc>
      </w:tr>
      <w:tr w:rsidR="00321AC0" w:rsidTr="00CB1399">
        <w:tc>
          <w:tcPr>
            <w:tcW w:w="3192" w:type="dxa"/>
          </w:tcPr>
          <w:p w:rsidR="00CB1399" w:rsidRDefault="00922A91" w:rsidP="00CB1399">
            <w:pPr>
              <w:jc w:val="left"/>
            </w:pPr>
            <w:r w:rsidRPr="00922A91">
              <w:rPr>
                <w:i/>
              </w:rPr>
              <w:t>Miranda v. Arizona</w:t>
            </w:r>
            <w:r>
              <w:t>, 1966</w:t>
            </w:r>
          </w:p>
        </w:tc>
        <w:tc>
          <w:tcPr>
            <w:tcW w:w="3192" w:type="dxa"/>
          </w:tcPr>
          <w:p w:rsidR="00CB1399" w:rsidRDefault="00CB1399" w:rsidP="00CB1399">
            <w:pPr>
              <w:jc w:val="left"/>
            </w:pPr>
          </w:p>
        </w:tc>
        <w:tc>
          <w:tcPr>
            <w:tcW w:w="3192" w:type="dxa"/>
          </w:tcPr>
          <w:p w:rsidR="00CB1399" w:rsidRDefault="00CB1399" w:rsidP="00CB1399">
            <w:pPr>
              <w:jc w:val="left"/>
            </w:pPr>
          </w:p>
        </w:tc>
      </w:tr>
      <w:tr w:rsidR="00321AC0" w:rsidTr="00CB1399">
        <w:tc>
          <w:tcPr>
            <w:tcW w:w="3192" w:type="dxa"/>
          </w:tcPr>
          <w:p w:rsidR="00CB1399" w:rsidRDefault="00922A91" w:rsidP="00CB1399">
            <w:pPr>
              <w:jc w:val="left"/>
            </w:pPr>
            <w:r w:rsidRPr="00922A91">
              <w:rPr>
                <w:i/>
              </w:rPr>
              <w:t>Engel v. Vitale</w:t>
            </w:r>
            <w:r>
              <w:t>, 1962</w:t>
            </w:r>
          </w:p>
        </w:tc>
        <w:tc>
          <w:tcPr>
            <w:tcW w:w="3192" w:type="dxa"/>
          </w:tcPr>
          <w:p w:rsidR="00CB1399" w:rsidRDefault="00CB1399" w:rsidP="00CB1399">
            <w:pPr>
              <w:jc w:val="left"/>
            </w:pPr>
          </w:p>
        </w:tc>
        <w:tc>
          <w:tcPr>
            <w:tcW w:w="3192" w:type="dxa"/>
          </w:tcPr>
          <w:p w:rsidR="00CB1399" w:rsidRDefault="00CB1399" w:rsidP="00CB1399">
            <w:pPr>
              <w:jc w:val="left"/>
            </w:pPr>
          </w:p>
        </w:tc>
      </w:tr>
      <w:tr w:rsidR="00321AC0" w:rsidTr="00CB1399">
        <w:tc>
          <w:tcPr>
            <w:tcW w:w="3192" w:type="dxa"/>
          </w:tcPr>
          <w:p w:rsidR="00CB1399" w:rsidRDefault="00922A91" w:rsidP="00CB1399">
            <w:pPr>
              <w:jc w:val="left"/>
            </w:pPr>
            <w:r w:rsidRPr="00922A91">
              <w:rPr>
                <w:i/>
              </w:rPr>
              <w:t>Griswold v. Connecticut</w:t>
            </w:r>
            <w:r>
              <w:t>, 1965</w:t>
            </w:r>
          </w:p>
        </w:tc>
        <w:tc>
          <w:tcPr>
            <w:tcW w:w="3192" w:type="dxa"/>
          </w:tcPr>
          <w:p w:rsidR="00CB1399" w:rsidRDefault="00CB1399" w:rsidP="00CB1399">
            <w:pPr>
              <w:jc w:val="left"/>
            </w:pPr>
          </w:p>
        </w:tc>
        <w:tc>
          <w:tcPr>
            <w:tcW w:w="3192" w:type="dxa"/>
          </w:tcPr>
          <w:p w:rsidR="00CB1399" w:rsidRDefault="00CB1399" w:rsidP="00CB1399">
            <w:pPr>
              <w:jc w:val="left"/>
            </w:pPr>
          </w:p>
        </w:tc>
      </w:tr>
      <w:tr w:rsidR="00321AC0" w:rsidTr="00CB1399">
        <w:tc>
          <w:tcPr>
            <w:tcW w:w="3192" w:type="dxa"/>
          </w:tcPr>
          <w:p w:rsidR="00922A91" w:rsidRPr="00922A91" w:rsidRDefault="00922A91" w:rsidP="00CB1399">
            <w:pPr>
              <w:jc w:val="left"/>
            </w:pPr>
            <w:r>
              <w:rPr>
                <w:i/>
              </w:rPr>
              <w:t>Loving v. Virginia</w:t>
            </w:r>
            <w:r>
              <w:t>, 1967</w:t>
            </w:r>
          </w:p>
        </w:tc>
        <w:tc>
          <w:tcPr>
            <w:tcW w:w="3192" w:type="dxa"/>
          </w:tcPr>
          <w:p w:rsidR="00922A91" w:rsidRDefault="00922A91" w:rsidP="00CB1399">
            <w:pPr>
              <w:jc w:val="left"/>
            </w:pPr>
          </w:p>
        </w:tc>
        <w:tc>
          <w:tcPr>
            <w:tcW w:w="3192" w:type="dxa"/>
          </w:tcPr>
          <w:p w:rsidR="00922A91" w:rsidRDefault="00922A91" w:rsidP="00CB1399">
            <w:pPr>
              <w:jc w:val="left"/>
            </w:pPr>
          </w:p>
        </w:tc>
      </w:tr>
      <w:tr w:rsidR="00321AC0" w:rsidTr="00CB1399">
        <w:tc>
          <w:tcPr>
            <w:tcW w:w="3192" w:type="dxa"/>
          </w:tcPr>
          <w:p w:rsidR="00BD4750" w:rsidRPr="00BD4750" w:rsidRDefault="00BD4750" w:rsidP="00CB1399">
            <w:pPr>
              <w:jc w:val="left"/>
            </w:pPr>
            <w:r>
              <w:rPr>
                <w:i/>
              </w:rPr>
              <w:t>Hernandez v. Texas</w:t>
            </w:r>
            <w:r>
              <w:t>, 1954</w:t>
            </w:r>
          </w:p>
        </w:tc>
        <w:tc>
          <w:tcPr>
            <w:tcW w:w="3192" w:type="dxa"/>
          </w:tcPr>
          <w:p w:rsidR="00BD4750" w:rsidRDefault="00BD4750" w:rsidP="00CB1399">
            <w:pPr>
              <w:jc w:val="left"/>
            </w:pPr>
          </w:p>
        </w:tc>
        <w:tc>
          <w:tcPr>
            <w:tcW w:w="3192" w:type="dxa"/>
          </w:tcPr>
          <w:p w:rsidR="00BD4750" w:rsidRDefault="00BD4750" w:rsidP="00CB1399">
            <w:pPr>
              <w:jc w:val="left"/>
            </w:pPr>
          </w:p>
        </w:tc>
      </w:tr>
    </w:tbl>
    <w:p w:rsidR="00682FE9" w:rsidRDefault="00682FE9" w:rsidP="00682FE9">
      <w:r>
        <w:rPr>
          <w:rFonts w:ascii="Arial" w:hAnsi="Arial" w:cs="Arial"/>
          <w:noProof/>
          <w:sz w:val="20"/>
          <w:szCs w:val="20"/>
        </w:rPr>
        <w:lastRenderedPageBreak/>
        <w:drawing>
          <wp:anchor distT="0" distB="0" distL="114300" distR="114300" simplePos="0" relativeHeight="251666432" behindDoc="0" locked="0" layoutInCell="1" allowOverlap="1" wp14:anchorId="182BB167" wp14:editId="5F4179EF">
            <wp:simplePos x="0" y="0"/>
            <wp:positionH relativeFrom="column">
              <wp:posOffset>4114800</wp:posOffset>
            </wp:positionH>
            <wp:positionV relativeFrom="paragraph">
              <wp:posOffset>-457200</wp:posOffset>
            </wp:positionV>
            <wp:extent cx="1905000" cy="2857500"/>
            <wp:effectExtent l="0" t="0" r="0" b="0"/>
            <wp:wrapSquare wrapText="bothSides"/>
            <wp:docPr id="5" name="Picture 5" descr="http://media-cache-ec0.pinimg.com/736x/3d/4c/2a/3d4c2a0a538c8d1c92e6b3c42f9106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ec0.pinimg.com/736x/3d/4c/2a/3d4c2a0a538c8d1c92e6b3c42f9106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t>The Warren Court, 1953-1969</w:t>
      </w:r>
    </w:p>
    <w:p w:rsidR="00682FE9" w:rsidRDefault="00682FE9" w:rsidP="00682FE9">
      <w:r>
        <w:t>The Supreme Court under Chief Justice Earl Warren</w:t>
      </w:r>
    </w:p>
    <w:p w:rsidR="00682FE9" w:rsidRDefault="00682FE9" w:rsidP="00682FE9"/>
    <w:p w:rsidR="00682FE9" w:rsidRDefault="00682FE9" w:rsidP="00682FE9">
      <w:pPr>
        <w:jc w:val="left"/>
      </w:pPr>
      <w:r>
        <w:t>Characteristics of the Warren Court</w:t>
      </w:r>
    </w:p>
    <w:p w:rsidR="00682FE9" w:rsidRDefault="00682FE9" w:rsidP="00682FE9">
      <w:pPr>
        <w:pStyle w:val="ListParagraph"/>
        <w:numPr>
          <w:ilvl w:val="0"/>
          <w:numId w:val="1"/>
        </w:numPr>
        <w:spacing w:line="480" w:lineRule="auto"/>
        <w:jc w:val="left"/>
      </w:pPr>
      <w:r>
        <w:t xml:space="preserve"> </w:t>
      </w:r>
    </w:p>
    <w:p w:rsidR="00682FE9" w:rsidRDefault="00682FE9" w:rsidP="00682FE9">
      <w:pPr>
        <w:pStyle w:val="ListParagraph"/>
        <w:numPr>
          <w:ilvl w:val="0"/>
          <w:numId w:val="1"/>
        </w:numPr>
        <w:spacing w:line="480" w:lineRule="auto"/>
        <w:jc w:val="left"/>
      </w:pPr>
      <w:r>
        <w:t xml:space="preserve"> </w:t>
      </w:r>
    </w:p>
    <w:p w:rsidR="00682FE9" w:rsidRDefault="00682FE9" w:rsidP="00682FE9">
      <w:pPr>
        <w:pStyle w:val="ListParagraph"/>
        <w:numPr>
          <w:ilvl w:val="0"/>
          <w:numId w:val="1"/>
        </w:numPr>
        <w:spacing w:line="480" w:lineRule="auto"/>
        <w:jc w:val="left"/>
      </w:pPr>
      <w:r>
        <w:t xml:space="preserve"> </w:t>
      </w:r>
    </w:p>
    <w:p w:rsidR="00682FE9" w:rsidRDefault="00682FE9" w:rsidP="00682FE9">
      <w:pPr>
        <w:pStyle w:val="ListParagraph"/>
        <w:numPr>
          <w:ilvl w:val="0"/>
          <w:numId w:val="1"/>
        </w:numPr>
        <w:spacing w:line="480" w:lineRule="auto"/>
        <w:jc w:val="left"/>
      </w:pPr>
      <w:r>
        <w:t xml:space="preserve"> </w:t>
      </w:r>
    </w:p>
    <w:p w:rsidR="00682FE9" w:rsidRDefault="00682FE9" w:rsidP="00682FE9">
      <w:pPr>
        <w:jc w:val="left"/>
      </w:pPr>
    </w:p>
    <w:p w:rsidR="00682FE9" w:rsidRDefault="00682FE9" w:rsidP="00682FE9">
      <w:pPr>
        <w:jc w:val="left"/>
      </w:pPr>
      <w:r>
        <w:t xml:space="preserve">What is </w:t>
      </w:r>
      <w:r w:rsidRPr="0073313B">
        <w:rPr>
          <w:b/>
        </w:rPr>
        <w:t>Due Process</w:t>
      </w:r>
      <w:r>
        <w:t>?</w:t>
      </w:r>
    </w:p>
    <w:p w:rsidR="00682FE9" w:rsidRDefault="00682FE9" w:rsidP="00682FE9">
      <w:pPr>
        <w:pStyle w:val="ListParagraph"/>
        <w:numPr>
          <w:ilvl w:val="0"/>
          <w:numId w:val="2"/>
        </w:numPr>
        <w:jc w:val="left"/>
      </w:pPr>
      <w:r>
        <w:t xml:space="preserve"> Means that the law may not treat individuals unfairly, and courts must follow proper procedures when trying cases</w:t>
      </w:r>
    </w:p>
    <w:p w:rsidR="00682FE9" w:rsidRDefault="00682FE9" w:rsidP="00682FE9">
      <w:pPr>
        <w:pStyle w:val="ListParagraph"/>
        <w:numPr>
          <w:ilvl w:val="0"/>
          <w:numId w:val="2"/>
        </w:numPr>
        <w:jc w:val="left"/>
      </w:pPr>
      <w:r>
        <w:t>The Warren Court ruled in several cases that upholding due process meant that the federal bill of rights should be applied to states, as well as individuals.</w:t>
      </w:r>
    </w:p>
    <w:p w:rsidR="00682FE9" w:rsidRDefault="00682FE9" w:rsidP="00682FE9">
      <w:pPr>
        <w:pStyle w:val="ListParagraph"/>
        <w:numPr>
          <w:ilvl w:val="0"/>
          <w:numId w:val="2"/>
        </w:numPr>
        <w:spacing w:line="480" w:lineRule="auto"/>
        <w:jc w:val="left"/>
      </w:pPr>
      <w:r>
        <w:t xml:space="preserve"> </w:t>
      </w:r>
    </w:p>
    <w:p w:rsidR="00236DD5" w:rsidRDefault="00236DD5" w:rsidP="00236DD5">
      <w:pPr>
        <w:pStyle w:val="ListParagraph"/>
        <w:spacing w:line="480" w:lineRule="auto"/>
        <w:jc w:val="left"/>
      </w:pPr>
    </w:p>
    <w:p w:rsidR="00682FE9" w:rsidRDefault="00682FE9" w:rsidP="00682FE9">
      <w:pPr>
        <w:pStyle w:val="ListParagraph"/>
        <w:jc w:val="left"/>
      </w:pPr>
      <w:r>
        <w:rPr>
          <w:noProof/>
        </w:rPr>
        <mc:AlternateContent>
          <mc:Choice Requires="wps">
            <w:drawing>
              <wp:anchor distT="0" distB="0" distL="114300" distR="114300" simplePos="0" relativeHeight="251661312" behindDoc="0" locked="0" layoutInCell="1" allowOverlap="1" wp14:anchorId="51D7AB14" wp14:editId="59CB0391">
                <wp:simplePos x="0" y="0"/>
                <wp:positionH relativeFrom="column">
                  <wp:posOffset>266700</wp:posOffset>
                </wp:positionH>
                <wp:positionV relativeFrom="paragraph">
                  <wp:posOffset>161924</wp:posOffset>
                </wp:positionV>
                <wp:extent cx="5848350" cy="1285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848350" cy="1285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1pt;margin-top:12.75pt;width:460.5pt;height:10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" filled="f" strokecolor="#243f60 [1604]" strokeweight="2pt"/>
            </w:pict>
          </mc:Fallback>
        </mc:AlternateContent>
      </w:r>
    </w:p>
    <w:p w:rsidR="00682FE9" w:rsidRDefault="00682FE9" w:rsidP="00682FE9">
      <w:pPr>
        <w:pStyle w:val="ListParagraph"/>
        <w:jc w:val="left"/>
      </w:pPr>
      <w:proofErr w:type="gramStart"/>
      <w:r>
        <w:t>Section 1.</w:t>
      </w:r>
      <w:proofErr w:type="gramEnd"/>
    </w:p>
    <w:p w:rsidR="00682FE9" w:rsidRDefault="00682FE9" w:rsidP="00682FE9">
      <w:pPr>
        <w:pStyle w:val="ListParagraph"/>
        <w:jc w:val="left"/>
        <w:rPr>
          <w:lang w:val="en"/>
        </w:rPr>
      </w:pPr>
      <w:r>
        <w:t>“</w:t>
      </w:r>
      <w:r w:rsidRPr="00922A91">
        <w:rPr>
          <w:lang w:val="en"/>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682FE9" w:rsidRDefault="00682FE9" w:rsidP="00682FE9">
      <w:pPr>
        <w:pStyle w:val="ListParagraph"/>
        <w:jc w:val="left"/>
        <w:rPr>
          <w:lang w:val="en"/>
        </w:rPr>
      </w:pPr>
    </w:p>
    <w:p w:rsidR="00682FE9" w:rsidRDefault="00682FE9" w:rsidP="00682FE9">
      <w:pPr>
        <w:jc w:val="left"/>
      </w:pPr>
    </w:p>
    <w:p w:rsidR="00682FE9" w:rsidRDefault="00682FE9" w:rsidP="00682FE9">
      <w:pPr>
        <w:jc w:val="left"/>
      </w:pPr>
      <w:r>
        <w:t>Warren Court Themes</w:t>
      </w:r>
    </w:p>
    <w:p w:rsidR="00682FE9" w:rsidRDefault="00682FE9" w:rsidP="00682FE9">
      <w:pPr>
        <w:pStyle w:val="ListParagraph"/>
        <w:numPr>
          <w:ilvl w:val="0"/>
          <w:numId w:val="4"/>
        </w:numPr>
        <w:spacing w:line="480" w:lineRule="auto"/>
        <w:jc w:val="left"/>
        <w:rPr>
          <w:b/>
        </w:rPr>
      </w:pPr>
      <w:r>
        <w:rPr>
          <w:b/>
        </w:rPr>
        <w:t xml:space="preserve"> </w:t>
      </w:r>
    </w:p>
    <w:p w:rsidR="00682FE9" w:rsidRDefault="00682FE9" w:rsidP="00682FE9">
      <w:pPr>
        <w:pStyle w:val="ListParagraph"/>
        <w:numPr>
          <w:ilvl w:val="0"/>
          <w:numId w:val="4"/>
        </w:numPr>
        <w:spacing w:line="480" w:lineRule="auto"/>
        <w:jc w:val="left"/>
        <w:rPr>
          <w:b/>
        </w:rPr>
      </w:pPr>
      <w:r>
        <w:rPr>
          <w:b/>
        </w:rPr>
        <w:t xml:space="preserve"> </w:t>
      </w:r>
    </w:p>
    <w:p w:rsidR="00682FE9" w:rsidRDefault="00682FE9" w:rsidP="00682FE9">
      <w:pPr>
        <w:pStyle w:val="ListParagraph"/>
        <w:numPr>
          <w:ilvl w:val="0"/>
          <w:numId w:val="4"/>
        </w:numPr>
        <w:spacing w:line="480" w:lineRule="auto"/>
        <w:jc w:val="left"/>
        <w:rPr>
          <w:b/>
        </w:rPr>
      </w:pPr>
      <w:r>
        <w:rPr>
          <w:b/>
        </w:rPr>
        <w:t xml:space="preserve"> </w:t>
      </w:r>
    </w:p>
    <w:p w:rsidR="00682FE9" w:rsidRDefault="00682FE9" w:rsidP="00682FE9">
      <w:pPr>
        <w:pStyle w:val="ListParagraph"/>
        <w:numPr>
          <w:ilvl w:val="0"/>
          <w:numId w:val="4"/>
        </w:numPr>
        <w:spacing w:line="480" w:lineRule="auto"/>
        <w:jc w:val="left"/>
        <w:rPr>
          <w:b/>
        </w:rPr>
      </w:pPr>
      <w:r>
        <w:rPr>
          <w:b/>
        </w:rPr>
        <w:t xml:space="preserve"> </w:t>
      </w:r>
    </w:p>
    <w:p w:rsidR="00682FE9" w:rsidRPr="00922A91" w:rsidRDefault="00682FE9" w:rsidP="00682FE9">
      <w:pPr>
        <w:pStyle w:val="ListParagraph"/>
        <w:numPr>
          <w:ilvl w:val="0"/>
          <w:numId w:val="4"/>
        </w:numPr>
        <w:spacing w:line="480" w:lineRule="auto"/>
        <w:jc w:val="left"/>
        <w:rPr>
          <w:b/>
        </w:rPr>
      </w:pPr>
      <w:r>
        <w:rPr>
          <w:b/>
        </w:rPr>
        <w:t xml:space="preserve"> </w:t>
      </w:r>
    </w:p>
    <w:p w:rsidR="00682FE9" w:rsidRDefault="00682FE9" w:rsidP="00682FE9">
      <w:pPr>
        <w:jc w:val="left"/>
      </w:pPr>
    </w:p>
    <w:p w:rsidR="00682FE9" w:rsidRDefault="00682FE9" w:rsidP="00682FE9">
      <w:pPr>
        <w:jc w:val="left"/>
      </w:pPr>
    </w:p>
    <w:p w:rsidR="00682FE9" w:rsidRDefault="00682FE9" w:rsidP="00682FE9">
      <w:pPr>
        <w:jc w:val="left"/>
      </w:pPr>
    </w:p>
    <w:p w:rsidR="00682FE9" w:rsidRDefault="00682FE9" w:rsidP="00682FE9">
      <w:pPr>
        <w:jc w:val="left"/>
      </w:pPr>
    </w:p>
    <w:p w:rsidR="00682FE9" w:rsidRDefault="00682FE9" w:rsidP="00682FE9">
      <w:pPr>
        <w:jc w:val="left"/>
      </w:pPr>
    </w:p>
    <w:tbl>
      <w:tblPr>
        <w:tblStyle w:val="TableGrid"/>
        <w:tblW w:w="9648" w:type="dxa"/>
        <w:tblLook w:val="04A0" w:firstRow="1" w:lastRow="0" w:firstColumn="1" w:lastColumn="0" w:noHBand="0" w:noVBand="1"/>
      </w:tblPr>
      <w:tblGrid>
        <w:gridCol w:w="2358"/>
        <w:gridCol w:w="2316"/>
        <w:gridCol w:w="4974"/>
      </w:tblGrid>
      <w:tr w:rsidR="00682FE9" w:rsidTr="00236DD5">
        <w:trPr>
          <w:trHeight w:val="350"/>
        </w:trPr>
        <w:tc>
          <w:tcPr>
            <w:tcW w:w="2358" w:type="dxa"/>
            <w:vAlign w:val="center"/>
          </w:tcPr>
          <w:p w:rsidR="00682FE9" w:rsidRDefault="00682FE9" w:rsidP="00236DD5">
            <w:r>
              <w:lastRenderedPageBreak/>
              <w:t xml:space="preserve">Name of </w:t>
            </w:r>
            <w:r w:rsidR="00236DD5">
              <w:t xml:space="preserve">Warren </w:t>
            </w:r>
            <w:r>
              <w:t>Court Case</w:t>
            </w:r>
          </w:p>
        </w:tc>
        <w:tc>
          <w:tcPr>
            <w:tcW w:w="2316" w:type="dxa"/>
          </w:tcPr>
          <w:p w:rsidR="00682FE9" w:rsidRDefault="00236DD5" w:rsidP="00C15464">
            <w:pPr>
              <w:jc w:val="left"/>
            </w:pPr>
            <w:r>
              <w:t>Relates to theme of…</w:t>
            </w:r>
          </w:p>
        </w:tc>
        <w:tc>
          <w:tcPr>
            <w:tcW w:w="4974" w:type="dxa"/>
          </w:tcPr>
          <w:p w:rsidR="00682FE9" w:rsidRDefault="00682FE9" w:rsidP="00C15464">
            <w:pPr>
              <w:jc w:val="left"/>
            </w:pPr>
            <w:r>
              <w:t>Significance</w:t>
            </w:r>
          </w:p>
        </w:tc>
      </w:tr>
      <w:tr w:rsidR="00682FE9" w:rsidTr="00236DD5">
        <w:trPr>
          <w:trHeight w:val="1440"/>
        </w:trPr>
        <w:tc>
          <w:tcPr>
            <w:tcW w:w="2358" w:type="dxa"/>
            <w:vAlign w:val="center"/>
          </w:tcPr>
          <w:p w:rsidR="00682FE9" w:rsidRDefault="00682FE9" w:rsidP="00236DD5">
            <w:r w:rsidRPr="00922A91">
              <w:rPr>
                <w:i/>
              </w:rPr>
              <w:t>Brown v. Board of Education</w:t>
            </w:r>
            <w:r>
              <w:t>, 1954</w:t>
            </w:r>
          </w:p>
        </w:tc>
        <w:tc>
          <w:tcPr>
            <w:tcW w:w="2316" w:type="dxa"/>
          </w:tcPr>
          <w:p w:rsidR="00682FE9" w:rsidRDefault="00682FE9" w:rsidP="00C15464">
            <w:pPr>
              <w:jc w:val="left"/>
            </w:pPr>
          </w:p>
        </w:tc>
        <w:tc>
          <w:tcPr>
            <w:tcW w:w="4974" w:type="dxa"/>
          </w:tcPr>
          <w:p w:rsidR="00682FE9" w:rsidRDefault="00682FE9" w:rsidP="00C15464">
            <w:pPr>
              <w:jc w:val="left"/>
            </w:pPr>
          </w:p>
        </w:tc>
      </w:tr>
      <w:tr w:rsidR="00682FE9" w:rsidTr="00236DD5">
        <w:trPr>
          <w:trHeight w:val="1440"/>
        </w:trPr>
        <w:tc>
          <w:tcPr>
            <w:tcW w:w="2358" w:type="dxa"/>
            <w:vAlign w:val="center"/>
          </w:tcPr>
          <w:p w:rsidR="00682FE9" w:rsidRDefault="00686A53" w:rsidP="00236DD5">
            <w:r w:rsidRPr="00922A91">
              <w:rPr>
                <w:i/>
              </w:rPr>
              <w:t xml:space="preserve">Baker v. </w:t>
            </w:r>
            <w:proofErr w:type="spellStart"/>
            <w:r w:rsidRPr="00922A91">
              <w:rPr>
                <w:i/>
              </w:rPr>
              <w:t>Carr</w:t>
            </w:r>
            <w:proofErr w:type="spellEnd"/>
            <w:r>
              <w:t>, 1962</w:t>
            </w:r>
          </w:p>
        </w:tc>
        <w:tc>
          <w:tcPr>
            <w:tcW w:w="2316" w:type="dxa"/>
          </w:tcPr>
          <w:p w:rsidR="00682FE9" w:rsidRDefault="00682FE9" w:rsidP="00C15464">
            <w:pPr>
              <w:jc w:val="left"/>
            </w:pPr>
          </w:p>
        </w:tc>
        <w:tc>
          <w:tcPr>
            <w:tcW w:w="4974" w:type="dxa"/>
          </w:tcPr>
          <w:p w:rsidR="00682FE9" w:rsidRDefault="00682FE9" w:rsidP="00C15464">
            <w:pPr>
              <w:jc w:val="left"/>
            </w:pPr>
          </w:p>
        </w:tc>
      </w:tr>
      <w:tr w:rsidR="00686A53" w:rsidTr="00236DD5">
        <w:trPr>
          <w:trHeight w:val="1440"/>
        </w:trPr>
        <w:tc>
          <w:tcPr>
            <w:tcW w:w="2358" w:type="dxa"/>
            <w:vAlign w:val="center"/>
          </w:tcPr>
          <w:p w:rsidR="00686A53" w:rsidRPr="00686A53" w:rsidRDefault="00686A53" w:rsidP="00024ED6">
            <w:r>
              <w:rPr>
                <w:i/>
              </w:rPr>
              <w:t>Reynolds v. Sims</w:t>
            </w:r>
            <w:r>
              <w:t>, 1964</w:t>
            </w:r>
          </w:p>
        </w:tc>
        <w:tc>
          <w:tcPr>
            <w:tcW w:w="2316" w:type="dxa"/>
          </w:tcPr>
          <w:p w:rsidR="00686A53" w:rsidRDefault="00686A53" w:rsidP="00C15464">
            <w:pPr>
              <w:jc w:val="left"/>
            </w:pPr>
          </w:p>
        </w:tc>
        <w:tc>
          <w:tcPr>
            <w:tcW w:w="4974" w:type="dxa"/>
          </w:tcPr>
          <w:p w:rsidR="00686A53" w:rsidRDefault="00686A53" w:rsidP="00C15464">
            <w:pPr>
              <w:jc w:val="left"/>
            </w:pPr>
          </w:p>
        </w:tc>
      </w:tr>
      <w:tr w:rsidR="00686A53" w:rsidTr="00236DD5">
        <w:trPr>
          <w:trHeight w:val="1440"/>
        </w:trPr>
        <w:tc>
          <w:tcPr>
            <w:tcW w:w="2358" w:type="dxa"/>
            <w:vAlign w:val="center"/>
          </w:tcPr>
          <w:p w:rsidR="00686A53" w:rsidRDefault="00686A53" w:rsidP="00024ED6">
            <w:r w:rsidRPr="00922A91">
              <w:rPr>
                <w:i/>
              </w:rPr>
              <w:t>Mapp v. Ohio</w:t>
            </w:r>
            <w:r>
              <w:t>, 1961</w:t>
            </w:r>
          </w:p>
        </w:tc>
        <w:tc>
          <w:tcPr>
            <w:tcW w:w="2316" w:type="dxa"/>
          </w:tcPr>
          <w:p w:rsidR="00686A53" w:rsidRDefault="00686A53" w:rsidP="00C15464">
            <w:pPr>
              <w:jc w:val="left"/>
            </w:pPr>
          </w:p>
        </w:tc>
        <w:tc>
          <w:tcPr>
            <w:tcW w:w="4974" w:type="dxa"/>
          </w:tcPr>
          <w:p w:rsidR="00686A53" w:rsidRDefault="00686A53" w:rsidP="00C15464">
            <w:pPr>
              <w:jc w:val="left"/>
            </w:pPr>
          </w:p>
        </w:tc>
      </w:tr>
      <w:tr w:rsidR="00686A53" w:rsidTr="00236DD5">
        <w:trPr>
          <w:trHeight w:val="1440"/>
        </w:trPr>
        <w:tc>
          <w:tcPr>
            <w:tcW w:w="2358" w:type="dxa"/>
            <w:vAlign w:val="center"/>
          </w:tcPr>
          <w:p w:rsidR="00686A53" w:rsidRDefault="00686A53" w:rsidP="00024ED6">
            <w:r w:rsidRPr="00922A91">
              <w:rPr>
                <w:i/>
              </w:rPr>
              <w:t>Gideon v. Wainwright</w:t>
            </w:r>
            <w:r>
              <w:t>, 1963</w:t>
            </w:r>
          </w:p>
        </w:tc>
        <w:tc>
          <w:tcPr>
            <w:tcW w:w="2316" w:type="dxa"/>
          </w:tcPr>
          <w:p w:rsidR="00686A53" w:rsidRDefault="00686A53" w:rsidP="00C15464">
            <w:pPr>
              <w:jc w:val="left"/>
            </w:pPr>
          </w:p>
        </w:tc>
        <w:tc>
          <w:tcPr>
            <w:tcW w:w="4974" w:type="dxa"/>
          </w:tcPr>
          <w:p w:rsidR="00686A53" w:rsidRDefault="00686A53" w:rsidP="00C15464">
            <w:pPr>
              <w:jc w:val="left"/>
            </w:pPr>
          </w:p>
        </w:tc>
      </w:tr>
      <w:tr w:rsidR="00686A53" w:rsidTr="00236DD5">
        <w:trPr>
          <w:trHeight w:val="1440"/>
        </w:trPr>
        <w:tc>
          <w:tcPr>
            <w:tcW w:w="2358" w:type="dxa"/>
            <w:vAlign w:val="center"/>
          </w:tcPr>
          <w:p w:rsidR="00686A53" w:rsidRDefault="00686A53" w:rsidP="00024ED6">
            <w:r w:rsidRPr="00922A91">
              <w:rPr>
                <w:i/>
              </w:rPr>
              <w:t>Miranda v. Arizona</w:t>
            </w:r>
            <w:r>
              <w:t>, 1966</w:t>
            </w:r>
          </w:p>
        </w:tc>
        <w:tc>
          <w:tcPr>
            <w:tcW w:w="2316" w:type="dxa"/>
          </w:tcPr>
          <w:p w:rsidR="00686A53" w:rsidRDefault="00686A53" w:rsidP="00C15464">
            <w:pPr>
              <w:jc w:val="left"/>
            </w:pPr>
          </w:p>
        </w:tc>
        <w:tc>
          <w:tcPr>
            <w:tcW w:w="4974" w:type="dxa"/>
          </w:tcPr>
          <w:p w:rsidR="00686A53" w:rsidRDefault="00686A53" w:rsidP="00C15464">
            <w:pPr>
              <w:jc w:val="left"/>
            </w:pPr>
          </w:p>
        </w:tc>
      </w:tr>
      <w:tr w:rsidR="00686A53" w:rsidTr="00236DD5">
        <w:trPr>
          <w:trHeight w:val="1440"/>
        </w:trPr>
        <w:tc>
          <w:tcPr>
            <w:tcW w:w="2358" w:type="dxa"/>
            <w:vAlign w:val="center"/>
          </w:tcPr>
          <w:p w:rsidR="00686A53" w:rsidRPr="00686A53" w:rsidRDefault="00686A53" w:rsidP="00236DD5">
            <w:r>
              <w:rPr>
                <w:i/>
              </w:rPr>
              <w:t>Tinker v. Des Moines</w:t>
            </w:r>
            <w:r>
              <w:t>, 1969</w:t>
            </w:r>
          </w:p>
        </w:tc>
        <w:tc>
          <w:tcPr>
            <w:tcW w:w="2316" w:type="dxa"/>
          </w:tcPr>
          <w:p w:rsidR="00686A53" w:rsidRDefault="00686A53" w:rsidP="00C15464">
            <w:pPr>
              <w:jc w:val="left"/>
            </w:pPr>
          </w:p>
        </w:tc>
        <w:tc>
          <w:tcPr>
            <w:tcW w:w="4974" w:type="dxa"/>
          </w:tcPr>
          <w:p w:rsidR="00686A53" w:rsidRDefault="00686A53" w:rsidP="00C15464">
            <w:pPr>
              <w:jc w:val="left"/>
            </w:pPr>
          </w:p>
        </w:tc>
      </w:tr>
      <w:tr w:rsidR="00686A53" w:rsidTr="00236DD5">
        <w:trPr>
          <w:trHeight w:val="1440"/>
        </w:trPr>
        <w:tc>
          <w:tcPr>
            <w:tcW w:w="2358" w:type="dxa"/>
            <w:vAlign w:val="center"/>
          </w:tcPr>
          <w:p w:rsidR="00686A53" w:rsidRPr="00922A91" w:rsidRDefault="00686A53" w:rsidP="00236DD5">
            <w:r>
              <w:rPr>
                <w:i/>
              </w:rPr>
              <w:t>Loving v. Virginia</w:t>
            </w:r>
            <w:r>
              <w:t>, 1967</w:t>
            </w:r>
          </w:p>
        </w:tc>
        <w:tc>
          <w:tcPr>
            <w:tcW w:w="2316" w:type="dxa"/>
          </w:tcPr>
          <w:p w:rsidR="00686A53" w:rsidRDefault="00686A53" w:rsidP="00C15464">
            <w:pPr>
              <w:jc w:val="left"/>
            </w:pPr>
          </w:p>
        </w:tc>
        <w:tc>
          <w:tcPr>
            <w:tcW w:w="4974" w:type="dxa"/>
          </w:tcPr>
          <w:p w:rsidR="00686A53" w:rsidRDefault="00686A53" w:rsidP="00C15464">
            <w:pPr>
              <w:jc w:val="left"/>
            </w:pPr>
          </w:p>
        </w:tc>
      </w:tr>
      <w:tr w:rsidR="00686A53" w:rsidTr="00236DD5">
        <w:trPr>
          <w:trHeight w:val="1440"/>
        </w:trPr>
        <w:tc>
          <w:tcPr>
            <w:tcW w:w="2358" w:type="dxa"/>
            <w:vAlign w:val="center"/>
          </w:tcPr>
          <w:p w:rsidR="00686A53" w:rsidRPr="00BD4750" w:rsidRDefault="00686A53" w:rsidP="00236DD5">
            <w:r>
              <w:rPr>
                <w:i/>
              </w:rPr>
              <w:t>Hernandez v. Texas</w:t>
            </w:r>
            <w:r>
              <w:t>, 1954</w:t>
            </w:r>
          </w:p>
        </w:tc>
        <w:tc>
          <w:tcPr>
            <w:tcW w:w="2316" w:type="dxa"/>
          </w:tcPr>
          <w:p w:rsidR="00686A53" w:rsidRDefault="00686A53" w:rsidP="00C15464">
            <w:pPr>
              <w:jc w:val="left"/>
            </w:pPr>
          </w:p>
        </w:tc>
        <w:tc>
          <w:tcPr>
            <w:tcW w:w="4974" w:type="dxa"/>
          </w:tcPr>
          <w:p w:rsidR="00686A53" w:rsidRDefault="00686A53" w:rsidP="00C15464">
            <w:pPr>
              <w:jc w:val="left"/>
            </w:pPr>
          </w:p>
        </w:tc>
      </w:tr>
      <w:tr w:rsidR="00686A53" w:rsidTr="00236DD5">
        <w:trPr>
          <w:trHeight w:val="350"/>
        </w:trPr>
        <w:tc>
          <w:tcPr>
            <w:tcW w:w="2358" w:type="dxa"/>
          </w:tcPr>
          <w:p w:rsidR="00686A53" w:rsidRDefault="00686A53" w:rsidP="00C15464">
            <w:r>
              <w:lastRenderedPageBreak/>
              <w:t>Name of Warren Court Case</w:t>
            </w:r>
          </w:p>
        </w:tc>
        <w:tc>
          <w:tcPr>
            <w:tcW w:w="2316" w:type="dxa"/>
          </w:tcPr>
          <w:p w:rsidR="00686A53" w:rsidRDefault="00686A53" w:rsidP="00C15464">
            <w:pPr>
              <w:jc w:val="left"/>
            </w:pPr>
            <w:r>
              <w:t>Relates to theme of…</w:t>
            </w:r>
          </w:p>
        </w:tc>
        <w:tc>
          <w:tcPr>
            <w:tcW w:w="4974" w:type="dxa"/>
          </w:tcPr>
          <w:p w:rsidR="00686A53" w:rsidRDefault="00686A53" w:rsidP="00C15464">
            <w:pPr>
              <w:jc w:val="left"/>
            </w:pPr>
            <w:r>
              <w:t>Significance</w:t>
            </w:r>
          </w:p>
        </w:tc>
      </w:tr>
      <w:tr w:rsidR="00686A53" w:rsidTr="00236DD5">
        <w:trPr>
          <w:trHeight w:val="1440"/>
        </w:trPr>
        <w:tc>
          <w:tcPr>
            <w:tcW w:w="2358" w:type="dxa"/>
          </w:tcPr>
          <w:p w:rsidR="00686A53" w:rsidRDefault="00686A53" w:rsidP="00C15464">
            <w:r w:rsidRPr="00922A91">
              <w:rPr>
                <w:i/>
              </w:rPr>
              <w:t>Brown v. Board of Education</w:t>
            </w:r>
            <w:r>
              <w:t>, 1954</w:t>
            </w:r>
          </w:p>
        </w:tc>
        <w:tc>
          <w:tcPr>
            <w:tcW w:w="2316" w:type="dxa"/>
          </w:tcPr>
          <w:p w:rsidR="00686A53" w:rsidRDefault="00686A53" w:rsidP="00C15464">
            <w:pPr>
              <w:jc w:val="left"/>
            </w:pPr>
          </w:p>
        </w:tc>
        <w:tc>
          <w:tcPr>
            <w:tcW w:w="4974" w:type="dxa"/>
          </w:tcPr>
          <w:p w:rsidR="00686A53" w:rsidRDefault="00686A53" w:rsidP="00C15464">
            <w:pPr>
              <w:jc w:val="left"/>
            </w:pPr>
            <w:r>
              <w:t xml:space="preserve">Overturned the precedent set in </w:t>
            </w:r>
            <w:r w:rsidRPr="00B7631D">
              <w:rPr>
                <w:i/>
              </w:rPr>
              <w:t>Plessy v. Ferguson</w:t>
            </w:r>
            <w:r>
              <w:t xml:space="preserve"> (1896) by declaring that segregation in public schools was unconstitutional.  Used equal protection clause from the Fourteenth Amendment to support ruling</w:t>
            </w:r>
          </w:p>
        </w:tc>
      </w:tr>
      <w:tr w:rsidR="00686A53" w:rsidTr="00236DD5">
        <w:trPr>
          <w:trHeight w:val="1440"/>
        </w:trPr>
        <w:tc>
          <w:tcPr>
            <w:tcW w:w="2358" w:type="dxa"/>
          </w:tcPr>
          <w:p w:rsidR="00686A53" w:rsidRDefault="00686A53" w:rsidP="00C15464">
            <w:r w:rsidRPr="00922A91">
              <w:rPr>
                <w:i/>
              </w:rPr>
              <w:t xml:space="preserve">Baker v. </w:t>
            </w:r>
            <w:proofErr w:type="spellStart"/>
            <w:r w:rsidRPr="00922A91">
              <w:rPr>
                <w:i/>
              </w:rPr>
              <w:t>Carr</w:t>
            </w:r>
            <w:proofErr w:type="spellEnd"/>
            <w:r>
              <w:t>, 1962</w:t>
            </w:r>
          </w:p>
        </w:tc>
        <w:tc>
          <w:tcPr>
            <w:tcW w:w="2316" w:type="dxa"/>
          </w:tcPr>
          <w:p w:rsidR="00686A53" w:rsidRDefault="00686A53" w:rsidP="00C15464">
            <w:pPr>
              <w:jc w:val="left"/>
            </w:pPr>
          </w:p>
        </w:tc>
        <w:tc>
          <w:tcPr>
            <w:tcW w:w="4974" w:type="dxa"/>
          </w:tcPr>
          <w:p w:rsidR="00686A53" w:rsidRDefault="00686A53" w:rsidP="00744AC8">
            <w:pPr>
              <w:jc w:val="left"/>
            </w:pPr>
            <w:r>
              <w:t>Ruled that federal courts can hear law suits seeking to force state authorities to redraw electoral districts.  Increased the power of the federal government over the states, using the equal protection clause to support ruling.</w:t>
            </w:r>
          </w:p>
        </w:tc>
      </w:tr>
      <w:tr w:rsidR="00686A53" w:rsidTr="00236DD5">
        <w:trPr>
          <w:trHeight w:val="1440"/>
        </w:trPr>
        <w:tc>
          <w:tcPr>
            <w:tcW w:w="2358" w:type="dxa"/>
          </w:tcPr>
          <w:p w:rsidR="00686A53" w:rsidRDefault="00686A53" w:rsidP="00C15464">
            <w:r w:rsidRPr="00922A91">
              <w:rPr>
                <w:i/>
              </w:rPr>
              <w:t>Mapp v. Ohio</w:t>
            </w:r>
            <w:r>
              <w:t>, 1961</w:t>
            </w:r>
          </w:p>
        </w:tc>
        <w:tc>
          <w:tcPr>
            <w:tcW w:w="2316" w:type="dxa"/>
          </w:tcPr>
          <w:p w:rsidR="00686A53" w:rsidRDefault="00686A53" w:rsidP="00C15464">
            <w:pPr>
              <w:jc w:val="left"/>
            </w:pPr>
          </w:p>
        </w:tc>
        <w:tc>
          <w:tcPr>
            <w:tcW w:w="4974" w:type="dxa"/>
          </w:tcPr>
          <w:p w:rsidR="00686A53" w:rsidRDefault="00686A53" w:rsidP="00C47218">
            <w:pPr>
              <w:jc w:val="left"/>
            </w:pPr>
            <w:r>
              <w:t>Ruled that evidence that was obtained in violation of the Fourth Amendment (must have a warrant to search) cannot be used to prosecute a defendant.  Applied due process clause of Fourteenth Amendment to states</w:t>
            </w:r>
          </w:p>
        </w:tc>
      </w:tr>
      <w:tr w:rsidR="00686A53" w:rsidTr="00236DD5">
        <w:trPr>
          <w:trHeight w:val="1440"/>
        </w:trPr>
        <w:tc>
          <w:tcPr>
            <w:tcW w:w="2358" w:type="dxa"/>
          </w:tcPr>
          <w:p w:rsidR="00686A53" w:rsidRDefault="00686A53" w:rsidP="00C15464">
            <w:r w:rsidRPr="00922A91">
              <w:rPr>
                <w:i/>
              </w:rPr>
              <w:t>Gideon v. Wainwright</w:t>
            </w:r>
            <w:r>
              <w:t>, 1963</w:t>
            </w:r>
          </w:p>
        </w:tc>
        <w:tc>
          <w:tcPr>
            <w:tcW w:w="2316" w:type="dxa"/>
          </w:tcPr>
          <w:p w:rsidR="00686A53" w:rsidRDefault="00686A53" w:rsidP="00C15464">
            <w:pPr>
              <w:jc w:val="left"/>
            </w:pPr>
          </w:p>
        </w:tc>
        <w:tc>
          <w:tcPr>
            <w:tcW w:w="4974" w:type="dxa"/>
          </w:tcPr>
          <w:p w:rsidR="00686A53" w:rsidRDefault="00686A53" w:rsidP="00C15464">
            <w:pPr>
              <w:jc w:val="left"/>
            </w:pPr>
            <w:r>
              <w:t>Ruled that defendants in criminal cases who cannot afford an attorney will be provided with an attorney paid by the state.  Applied the equal protection clause from the Fourteenth Amendment to the state of Florida</w:t>
            </w:r>
          </w:p>
        </w:tc>
      </w:tr>
      <w:tr w:rsidR="00686A53" w:rsidTr="00236DD5">
        <w:trPr>
          <w:trHeight w:val="1440"/>
        </w:trPr>
        <w:tc>
          <w:tcPr>
            <w:tcW w:w="2358" w:type="dxa"/>
          </w:tcPr>
          <w:p w:rsidR="00686A53" w:rsidRDefault="00686A53" w:rsidP="00C15464">
            <w:r w:rsidRPr="00922A91">
              <w:rPr>
                <w:i/>
              </w:rPr>
              <w:t>Miranda v. Arizona</w:t>
            </w:r>
            <w:r>
              <w:t>, 1966</w:t>
            </w:r>
          </w:p>
        </w:tc>
        <w:tc>
          <w:tcPr>
            <w:tcW w:w="2316" w:type="dxa"/>
          </w:tcPr>
          <w:p w:rsidR="00686A53" w:rsidRDefault="00686A53" w:rsidP="00C15464">
            <w:pPr>
              <w:jc w:val="left"/>
            </w:pPr>
          </w:p>
        </w:tc>
        <w:tc>
          <w:tcPr>
            <w:tcW w:w="4974" w:type="dxa"/>
          </w:tcPr>
          <w:p w:rsidR="00686A53" w:rsidRDefault="00686A53" w:rsidP="00B70F71">
            <w:pPr>
              <w:jc w:val="left"/>
            </w:pPr>
            <w:r>
              <w:t xml:space="preserve">Ruled that a person placed in custody must be informed of the right to remain silent, the right to an attorney, and that anything they say can be used against them in court.  Confessions are inadmissible if rights were not told to the person. </w:t>
            </w:r>
          </w:p>
        </w:tc>
      </w:tr>
      <w:tr w:rsidR="00686A53" w:rsidTr="00236DD5">
        <w:trPr>
          <w:trHeight w:val="1440"/>
        </w:trPr>
        <w:tc>
          <w:tcPr>
            <w:tcW w:w="2358" w:type="dxa"/>
          </w:tcPr>
          <w:p w:rsidR="00686A53" w:rsidRDefault="00546D62" w:rsidP="00C15464">
            <w:r>
              <w:rPr>
                <w:i/>
              </w:rPr>
              <w:t>Tinker v. Des Moines</w:t>
            </w:r>
            <w:r>
              <w:t>, 1969</w:t>
            </w:r>
          </w:p>
        </w:tc>
        <w:tc>
          <w:tcPr>
            <w:tcW w:w="2316" w:type="dxa"/>
          </w:tcPr>
          <w:p w:rsidR="00686A53" w:rsidRDefault="00686A53" w:rsidP="00C15464">
            <w:pPr>
              <w:jc w:val="left"/>
            </w:pPr>
          </w:p>
        </w:tc>
        <w:tc>
          <w:tcPr>
            <w:tcW w:w="4974" w:type="dxa"/>
          </w:tcPr>
          <w:p w:rsidR="00686A53" w:rsidRDefault="00546D62" w:rsidP="00C15464">
            <w:pPr>
              <w:jc w:val="left"/>
            </w:pPr>
            <w:r>
              <w:t>Ruled that through incorporation of the Fourteenth Amendment, the First Amendment does apply to public schools</w:t>
            </w:r>
            <w:r w:rsidR="008C0A57">
              <w:t>, and that the actions of wearing protest armbands did constitute protected symbolic speech</w:t>
            </w:r>
          </w:p>
        </w:tc>
      </w:tr>
      <w:tr w:rsidR="00686A53" w:rsidTr="00236DD5">
        <w:trPr>
          <w:trHeight w:val="1440"/>
        </w:trPr>
        <w:tc>
          <w:tcPr>
            <w:tcW w:w="2358" w:type="dxa"/>
          </w:tcPr>
          <w:p w:rsidR="00686A53" w:rsidRDefault="00546D62" w:rsidP="00C15464">
            <w:r>
              <w:rPr>
                <w:i/>
              </w:rPr>
              <w:t>Reynolds v. Sims</w:t>
            </w:r>
            <w:r>
              <w:t>, 1964</w:t>
            </w:r>
          </w:p>
        </w:tc>
        <w:tc>
          <w:tcPr>
            <w:tcW w:w="2316" w:type="dxa"/>
          </w:tcPr>
          <w:p w:rsidR="00686A53" w:rsidRDefault="00686A53" w:rsidP="00C15464">
            <w:pPr>
              <w:jc w:val="left"/>
            </w:pPr>
          </w:p>
        </w:tc>
        <w:tc>
          <w:tcPr>
            <w:tcW w:w="4974" w:type="dxa"/>
          </w:tcPr>
          <w:p w:rsidR="00686A53" w:rsidRDefault="008C0A57" w:rsidP="00C15464">
            <w:pPr>
              <w:jc w:val="left"/>
            </w:pPr>
            <w:r>
              <w:t>Ruled that based on the equal protection clause of the Fourteenth Amendment, state legislature districts should be roughly equal in population.  Affirms the idea of “one person, one vote”</w:t>
            </w:r>
            <w:bookmarkStart w:id="0" w:name="_GoBack"/>
            <w:bookmarkEnd w:id="0"/>
          </w:p>
        </w:tc>
      </w:tr>
      <w:tr w:rsidR="00686A53" w:rsidTr="00236DD5">
        <w:trPr>
          <w:trHeight w:val="1440"/>
        </w:trPr>
        <w:tc>
          <w:tcPr>
            <w:tcW w:w="2358" w:type="dxa"/>
          </w:tcPr>
          <w:p w:rsidR="00686A53" w:rsidRPr="00922A91" w:rsidRDefault="00686A53" w:rsidP="00C15464">
            <w:r>
              <w:rPr>
                <w:i/>
              </w:rPr>
              <w:t>Loving v. Virginia</w:t>
            </w:r>
            <w:r>
              <w:t>, 1967</w:t>
            </w:r>
          </w:p>
        </w:tc>
        <w:tc>
          <w:tcPr>
            <w:tcW w:w="2316" w:type="dxa"/>
          </w:tcPr>
          <w:p w:rsidR="00686A53" w:rsidRDefault="00686A53" w:rsidP="00C15464">
            <w:pPr>
              <w:jc w:val="left"/>
            </w:pPr>
          </w:p>
        </w:tc>
        <w:tc>
          <w:tcPr>
            <w:tcW w:w="4974" w:type="dxa"/>
          </w:tcPr>
          <w:p w:rsidR="00686A53" w:rsidRDefault="00686A53" w:rsidP="00C15464">
            <w:pPr>
              <w:jc w:val="left"/>
            </w:pPr>
            <w:r>
              <w:t>Ruled that under the due process and equal protection clause of the Fourteenth Amendment, laws that outlaw interracial marriage are unconstitutional.  Used as support in the 2013 ruling that allowed same-sex marriage</w:t>
            </w:r>
          </w:p>
        </w:tc>
      </w:tr>
      <w:tr w:rsidR="00686A53" w:rsidTr="00236DD5">
        <w:trPr>
          <w:trHeight w:val="1440"/>
        </w:trPr>
        <w:tc>
          <w:tcPr>
            <w:tcW w:w="2358" w:type="dxa"/>
          </w:tcPr>
          <w:p w:rsidR="00686A53" w:rsidRPr="00BD4750" w:rsidRDefault="00686A53" w:rsidP="00C15464">
            <w:r>
              <w:rPr>
                <w:i/>
              </w:rPr>
              <w:t>Hernandez v. Texas</w:t>
            </w:r>
            <w:r>
              <w:t>, 1954</w:t>
            </w:r>
          </w:p>
        </w:tc>
        <w:tc>
          <w:tcPr>
            <w:tcW w:w="2316" w:type="dxa"/>
          </w:tcPr>
          <w:p w:rsidR="00686A53" w:rsidRDefault="00686A53" w:rsidP="00C15464">
            <w:pPr>
              <w:jc w:val="left"/>
            </w:pPr>
          </w:p>
        </w:tc>
        <w:tc>
          <w:tcPr>
            <w:tcW w:w="4974" w:type="dxa"/>
          </w:tcPr>
          <w:p w:rsidR="00686A53" w:rsidRDefault="00686A53" w:rsidP="00C15464">
            <w:pPr>
              <w:jc w:val="left"/>
            </w:pPr>
            <w:r>
              <w:t>Ruled that under the equal protection clause of the Fourteenth Amendment, all Mexican Americans and other racial groups were guaranteed fair and equal treatment</w:t>
            </w:r>
          </w:p>
        </w:tc>
      </w:tr>
    </w:tbl>
    <w:p w:rsidR="00CB1399" w:rsidRDefault="00CB1399" w:rsidP="00236DD5">
      <w:pPr>
        <w:jc w:val="both"/>
      </w:pPr>
    </w:p>
    <w:sectPr w:rsidR="00CB1399" w:rsidSect="00236DD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3242"/>
    <w:multiLevelType w:val="hybridMultilevel"/>
    <w:tmpl w:val="2D546D04"/>
    <w:lvl w:ilvl="0" w:tplc="8BACC4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05748"/>
    <w:multiLevelType w:val="hybridMultilevel"/>
    <w:tmpl w:val="4C42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84D29"/>
    <w:multiLevelType w:val="hybridMultilevel"/>
    <w:tmpl w:val="2D546D04"/>
    <w:lvl w:ilvl="0" w:tplc="8BACC4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0E6AFE"/>
    <w:multiLevelType w:val="hybridMultilevel"/>
    <w:tmpl w:val="CBE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3B"/>
    <w:rsid w:val="000571A5"/>
    <w:rsid w:val="000F307C"/>
    <w:rsid w:val="00110F31"/>
    <w:rsid w:val="00236DD5"/>
    <w:rsid w:val="00321AC0"/>
    <w:rsid w:val="004A7928"/>
    <w:rsid w:val="00546D62"/>
    <w:rsid w:val="00682FE9"/>
    <w:rsid w:val="00686A53"/>
    <w:rsid w:val="0073313B"/>
    <w:rsid w:val="00744AC8"/>
    <w:rsid w:val="008C0A57"/>
    <w:rsid w:val="00922A91"/>
    <w:rsid w:val="00B70F71"/>
    <w:rsid w:val="00B7631D"/>
    <w:rsid w:val="00BD4750"/>
    <w:rsid w:val="00C47218"/>
    <w:rsid w:val="00CB1399"/>
    <w:rsid w:val="00F9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13B"/>
    <w:pPr>
      <w:ind w:left="720"/>
      <w:contextualSpacing/>
    </w:pPr>
  </w:style>
  <w:style w:type="table" w:styleId="TableGrid">
    <w:name w:val="Table Grid"/>
    <w:basedOn w:val="TableNormal"/>
    <w:uiPriority w:val="59"/>
    <w:rsid w:val="00CB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FE9"/>
    <w:rPr>
      <w:rFonts w:ascii="Tahoma" w:hAnsi="Tahoma" w:cs="Tahoma"/>
      <w:sz w:val="16"/>
      <w:szCs w:val="16"/>
    </w:rPr>
  </w:style>
  <w:style w:type="character" w:customStyle="1" w:styleId="BalloonTextChar">
    <w:name w:val="Balloon Text Char"/>
    <w:basedOn w:val="DefaultParagraphFont"/>
    <w:link w:val="BalloonText"/>
    <w:uiPriority w:val="99"/>
    <w:semiHidden/>
    <w:rsid w:val="00682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13B"/>
    <w:pPr>
      <w:ind w:left="720"/>
      <w:contextualSpacing/>
    </w:pPr>
  </w:style>
  <w:style w:type="table" w:styleId="TableGrid">
    <w:name w:val="Table Grid"/>
    <w:basedOn w:val="TableNormal"/>
    <w:uiPriority w:val="59"/>
    <w:rsid w:val="00CB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FE9"/>
    <w:rPr>
      <w:rFonts w:ascii="Tahoma" w:hAnsi="Tahoma" w:cs="Tahoma"/>
      <w:sz w:val="16"/>
      <w:szCs w:val="16"/>
    </w:rPr>
  </w:style>
  <w:style w:type="character" w:customStyle="1" w:styleId="BalloonTextChar">
    <w:name w:val="Balloon Text Char"/>
    <w:basedOn w:val="DefaultParagraphFont"/>
    <w:link w:val="BalloonText"/>
    <w:uiPriority w:val="99"/>
    <w:semiHidden/>
    <w:rsid w:val="00682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8591-7B95-4DE1-A666-5A125772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Rives</dc:creator>
  <cp:lastModifiedBy>Maria Rives</cp:lastModifiedBy>
  <cp:revision>4</cp:revision>
  <cp:lastPrinted>2016-03-11T14:12:00Z</cp:lastPrinted>
  <dcterms:created xsi:type="dcterms:W3CDTF">2016-03-11T13:50:00Z</dcterms:created>
  <dcterms:modified xsi:type="dcterms:W3CDTF">2016-03-11T14:26:00Z</dcterms:modified>
</cp:coreProperties>
</file>